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90" w:rsidRPr="00F109AE" w:rsidRDefault="00F17AF2" w:rsidP="00DD4A94">
      <w:pPr>
        <w:rPr>
          <w:rFonts w:ascii="Arial" w:hAnsi="Arial" w:cs="Arial"/>
          <w:b/>
        </w:rPr>
      </w:pPr>
      <w:r w:rsidRPr="00F109AE">
        <w:rPr>
          <w:rFonts w:ascii="Arial" w:hAnsi="Arial" w:cs="Arial"/>
          <w:b/>
        </w:rPr>
        <w:t>Experiential Learning Cycle</w:t>
      </w:r>
    </w:p>
    <w:p w:rsidR="00F17AF2" w:rsidRPr="00F109AE" w:rsidRDefault="00F17AF2" w:rsidP="00DD4A94">
      <w:pPr>
        <w:rPr>
          <w:rFonts w:ascii="Arial" w:hAnsi="Arial" w:cs="Arial"/>
        </w:rPr>
      </w:pPr>
    </w:p>
    <w:p w:rsidR="00F17AF2" w:rsidRPr="00F109AE" w:rsidRDefault="00F17AF2" w:rsidP="00DD4A94">
      <w:pPr>
        <w:rPr>
          <w:rFonts w:ascii="Arial" w:hAnsi="Arial" w:cs="Arial"/>
        </w:rPr>
      </w:pPr>
      <w:r w:rsidRPr="00F109AE">
        <w:rPr>
          <w:rFonts w:ascii="Arial" w:hAnsi="Arial" w:cs="Arial"/>
        </w:rPr>
        <w:t>Two continuums of perceiving and processing information</w:t>
      </w:r>
    </w:p>
    <w:p w:rsidR="00F17AF2" w:rsidRPr="00F109AE" w:rsidRDefault="00F17AF2" w:rsidP="00DD4A94">
      <w:pPr>
        <w:rPr>
          <w:rFonts w:ascii="Arial" w:hAnsi="Arial" w:cs="Arial"/>
        </w:rPr>
      </w:pPr>
    </w:p>
    <w:p w:rsidR="00F17AF2" w:rsidRPr="00F109AE" w:rsidRDefault="00F17AF2" w:rsidP="00F17AF2">
      <w:pPr>
        <w:numPr>
          <w:ilvl w:val="0"/>
          <w:numId w:val="1"/>
        </w:numPr>
        <w:rPr>
          <w:rFonts w:ascii="Arial" w:hAnsi="Arial" w:cs="Arial"/>
        </w:rPr>
      </w:pPr>
      <w:r w:rsidRPr="00F109AE">
        <w:rPr>
          <w:rFonts w:ascii="Arial" w:hAnsi="Arial" w:cs="Arial"/>
        </w:rPr>
        <w:t>We perceive information through concrete experiences and abstract conceptualization.</w:t>
      </w:r>
    </w:p>
    <w:p w:rsidR="00F17AF2" w:rsidRPr="00F109AE" w:rsidRDefault="00F17AF2" w:rsidP="00F17AF2">
      <w:pPr>
        <w:numPr>
          <w:ilvl w:val="0"/>
          <w:numId w:val="1"/>
        </w:numPr>
        <w:rPr>
          <w:rFonts w:ascii="Arial" w:hAnsi="Arial" w:cs="Arial"/>
        </w:rPr>
      </w:pPr>
      <w:r w:rsidRPr="00F109AE">
        <w:rPr>
          <w:rFonts w:ascii="Arial" w:hAnsi="Arial" w:cs="Arial"/>
        </w:rPr>
        <w:t>We process information through reflective observation and active experimentation.</w:t>
      </w:r>
    </w:p>
    <w:p w:rsidR="00F17AF2" w:rsidRPr="00F109AE" w:rsidRDefault="00F17AF2" w:rsidP="00F17AF2">
      <w:pPr>
        <w:rPr>
          <w:rFonts w:ascii="Arial" w:hAnsi="Arial" w:cs="Arial"/>
        </w:rPr>
      </w:pPr>
    </w:p>
    <w:p w:rsidR="00F17AF2" w:rsidRPr="00F109AE" w:rsidRDefault="00F17AF2" w:rsidP="00F17AF2">
      <w:pPr>
        <w:rPr>
          <w:rFonts w:ascii="Arial" w:hAnsi="Arial" w:cs="Arial"/>
        </w:rPr>
      </w:pPr>
      <w:r w:rsidRPr="00F109AE">
        <w:rPr>
          <w:rFonts w:ascii="Arial" w:hAnsi="Arial" w:cs="Arial"/>
        </w:rPr>
        <w:t>Kolb argues that as learners, we have a tendency to perceive and process in a particular part of the learning cycle, but to learn best we need to expand into all quadrants of the learning cycle.</w:t>
      </w:r>
    </w:p>
    <w:p w:rsidR="00F17AF2" w:rsidRPr="00F109AE" w:rsidRDefault="00F17AF2" w:rsidP="00F17AF2">
      <w:pPr>
        <w:rPr>
          <w:rFonts w:ascii="Arial" w:hAnsi="Arial" w:cs="Arial"/>
        </w:rPr>
      </w:pPr>
    </w:p>
    <w:p w:rsidR="00BB1E18" w:rsidRPr="00F109AE" w:rsidRDefault="00BB1E18" w:rsidP="00F17AF2">
      <w:pPr>
        <w:rPr>
          <w:rFonts w:ascii="Arial" w:hAnsi="Arial" w:cs="Arial"/>
        </w:rPr>
      </w:pPr>
      <w:r w:rsidRPr="00F109AE">
        <w:rPr>
          <w:rFonts w:ascii="Arial" w:hAnsi="Arial" w:cs="Arial"/>
        </w:rPr>
        <w:t xml:space="preserve">See chapter 1 &amp; 2 in </w:t>
      </w:r>
      <w:r w:rsidRPr="00F109AE">
        <w:rPr>
          <w:rFonts w:ascii="Arial" w:hAnsi="Arial" w:cs="Arial"/>
          <w:i/>
        </w:rPr>
        <w:t>Workshops: Designing and Facilitating Experiential Learning</w:t>
      </w:r>
      <w:r w:rsidRPr="00F109AE">
        <w:rPr>
          <w:rFonts w:ascii="Arial" w:hAnsi="Arial" w:cs="Arial"/>
        </w:rPr>
        <w:t xml:space="preserve"> for more information</w:t>
      </w:r>
    </w:p>
    <w:p w:rsidR="00BB1E18" w:rsidRPr="00F109AE" w:rsidRDefault="00BB1E18" w:rsidP="00F17AF2">
      <w:pPr>
        <w:rPr>
          <w:rFonts w:ascii="Arial" w:hAnsi="Arial" w:cs="Arial"/>
        </w:rPr>
      </w:pPr>
    </w:p>
    <w:p w:rsidR="00F17AF2" w:rsidRPr="00F109AE" w:rsidRDefault="00F17AF2" w:rsidP="00F17AF2">
      <w:pPr>
        <w:rPr>
          <w:rFonts w:ascii="Arial" w:hAnsi="Arial" w:cs="Arial"/>
          <w:b/>
        </w:rPr>
      </w:pPr>
      <w:r w:rsidRPr="00F109AE">
        <w:rPr>
          <w:rFonts w:ascii="Arial" w:hAnsi="Arial" w:cs="Arial"/>
          <w:b/>
        </w:rPr>
        <w:t>Principles of Experiential Education</w:t>
      </w:r>
    </w:p>
    <w:p w:rsidR="00F17AF2" w:rsidRPr="00F109AE" w:rsidRDefault="00F17AF2" w:rsidP="00F17AF2">
      <w:pPr>
        <w:rPr>
          <w:rFonts w:ascii="Arial" w:hAnsi="Arial" w:cs="Arial"/>
        </w:rPr>
      </w:pPr>
    </w:p>
    <w:p w:rsidR="00F17AF2" w:rsidRPr="00F109AE" w:rsidRDefault="00F17AF2" w:rsidP="00F17AF2">
      <w:pPr>
        <w:numPr>
          <w:ilvl w:val="0"/>
          <w:numId w:val="2"/>
        </w:numPr>
        <w:rPr>
          <w:rFonts w:ascii="Arial" w:hAnsi="Arial" w:cs="Arial"/>
        </w:rPr>
      </w:pPr>
      <w:r w:rsidRPr="00F109AE">
        <w:rPr>
          <w:rFonts w:ascii="Arial" w:hAnsi="Arial" w:cs="Arial"/>
        </w:rPr>
        <w:t>Experiential learning occurs when carefully chosen experiences are supported by reflection, critical analysis and synthesis.</w:t>
      </w:r>
    </w:p>
    <w:p w:rsidR="00F17AF2" w:rsidRPr="00F109AE" w:rsidRDefault="00F17AF2" w:rsidP="00F17AF2">
      <w:pPr>
        <w:numPr>
          <w:ilvl w:val="0"/>
          <w:numId w:val="2"/>
        </w:numPr>
        <w:rPr>
          <w:rFonts w:ascii="Arial" w:hAnsi="Arial" w:cs="Arial"/>
        </w:rPr>
      </w:pPr>
      <w:r w:rsidRPr="00F109AE">
        <w:rPr>
          <w:rFonts w:ascii="Arial" w:hAnsi="Arial" w:cs="Arial"/>
        </w:rPr>
        <w:t>Experiences are structured to require the learner to take initiative, make decisions and be accountable for the results.</w:t>
      </w:r>
    </w:p>
    <w:p w:rsidR="00F17AF2" w:rsidRPr="00F109AE" w:rsidRDefault="00F17AF2" w:rsidP="00F17AF2">
      <w:pPr>
        <w:numPr>
          <w:ilvl w:val="0"/>
          <w:numId w:val="2"/>
        </w:numPr>
        <w:rPr>
          <w:rFonts w:ascii="Arial" w:hAnsi="Arial" w:cs="Arial"/>
        </w:rPr>
      </w:pPr>
      <w:r w:rsidRPr="00F109AE">
        <w:rPr>
          <w:rFonts w:ascii="Arial" w:hAnsi="Arial" w:cs="Arial"/>
        </w:rPr>
        <w:t>Throughout the experiential learning process, the learner is actively engaged in posing questions, investigating</w:t>
      </w:r>
      <w:r w:rsidR="007D16BF" w:rsidRPr="00F109AE">
        <w:rPr>
          <w:rFonts w:ascii="Arial" w:hAnsi="Arial" w:cs="Arial"/>
        </w:rPr>
        <w:t xml:space="preserve">, experimenting, being curious, </w:t>
      </w:r>
      <w:proofErr w:type="gramStart"/>
      <w:r w:rsidR="007D16BF" w:rsidRPr="00F109AE">
        <w:rPr>
          <w:rFonts w:ascii="Arial" w:hAnsi="Arial" w:cs="Arial"/>
        </w:rPr>
        <w:t>solving</w:t>
      </w:r>
      <w:proofErr w:type="gramEnd"/>
      <w:r w:rsidRPr="00F109AE">
        <w:rPr>
          <w:rFonts w:ascii="Arial" w:hAnsi="Arial" w:cs="Arial"/>
        </w:rPr>
        <w:t xml:space="preserve"> problems, assuming responsibility, being creative and constructing meaning.</w:t>
      </w:r>
    </w:p>
    <w:p w:rsidR="00F17AF2" w:rsidRPr="00F109AE" w:rsidRDefault="00F17AF2" w:rsidP="00F17AF2">
      <w:pPr>
        <w:numPr>
          <w:ilvl w:val="0"/>
          <w:numId w:val="2"/>
        </w:numPr>
        <w:rPr>
          <w:rFonts w:ascii="Arial" w:hAnsi="Arial" w:cs="Arial"/>
        </w:rPr>
      </w:pPr>
      <w:r w:rsidRPr="00F109AE">
        <w:rPr>
          <w:rFonts w:ascii="Arial" w:hAnsi="Arial" w:cs="Arial"/>
        </w:rPr>
        <w:t>Learners are engaged intellectually, emotionally, socially, soulfully, and/or physically.  This involvement produces a perception that the learning task is authentic.</w:t>
      </w:r>
    </w:p>
    <w:p w:rsidR="00F17AF2" w:rsidRPr="00F109AE" w:rsidRDefault="00F17AF2" w:rsidP="00F17AF2">
      <w:pPr>
        <w:numPr>
          <w:ilvl w:val="0"/>
          <w:numId w:val="2"/>
        </w:numPr>
        <w:rPr>
          <w:rFonts w:ascii="Arial" w:hAnsi="Arial" w:cs="Arial"/>
        </w:rPr>
      </w:pPr>
      <w:r w:rsidRPr="00F109AE">
        <w:rPr>
          <w:rFonts w:ascii="Arial" w:hAnsi="Arial" w:cs="Arial"/>
        </w:rPr>
        <w:t>The results of the learning are personal and form the basis for future experiences and learning.</w:t>
      </w:r>
    </w:p>
    <w:p w:rsidR="00BB1E18" w:rsidRPr="00F109AE" w:rsidRDefault="00BB1E18" w:rsidP="00F17AF2">
      <w:pPr>
        <w:rPr>
          <w:rFonts w:ascii="Arial" w:hAnsi="Arial" w:cs="Arial"/>
        </w:rPr>
      </w:pPr>
    </w:p>
    <w:p w:rsidR="00F17AF2" w:rsidRPr="00F109AE" w:rsidRDefault="00BB1E18" w:rsidP="00F17AF2">
      <w:pPr>
        <w:rPr>
          <w:rFonts w:ascii="Arial" w:hAnsi="Arial" w:cs="Arial"/>
        </w:rPr>
      </w:pPr>
      <w:r w:rsidRPr="00F109AE">
        <w:rPr>
          <w:rFonts w:ascii="Arial" w:hAnsi="Arial" w:cs="Arial"/>
        </w:rPr>
        <w:t>http://elearningrandomwalk.blogspot.com/2005/04/principles-of-experiential-education.html</w:t>
      </w:r>
    </w:p>
    <w:p w:rsidR="00BB1E18" w:rsidRPr="00F109AE" w:rsidRDefault="00BB1E18" w:rsidP="00F17AF2">
      <w:pPr>
        <w:rPr>
          <w:rFonts w:ascii="Arial" w:hAnsi="Arial" w:cs="Arial"/>
        </w:rPr>
      </w:pPr>
    </w:p>
    <w:p w:rsidR="00F17AF2" w:rsidRPr="00F109AE" w:rsidRDefault="00F17AF2" w:rsidP="00F17AF2">
      <w:pPr>
        <w:rPr>
          <w:rFonts w:ascii="Arial" w:hAnsi="Arial" w:cs="Arial"/>
          <w:b/>
        </w:rPr>
      </w:pPr>
      <w:r w:rsidRPr="00F109AE">
        <w:rPr>
          <w:rFonts w:ascii="Arial" w:hAnsi="Arial" w:cs="Arial"/>
          <w:b/>
        </w:rPr>
        <w:t>Principles of (Adult) Learning</w:t>
      </w:r>
    </w:p>
    <w:p w:rsidR="007D16BF" w:rsidRPr="00F109AE" w:rsidRDefault="007D16BF" w:rsidP="007D16BF">
      <w:pPr>
        <w:numPr>
          <w:ilvl w:val="0"/>
          <w:numId w:val="3"/>
        </w:numPr>
        <w:spacing w:before="100" w:beforeAutospacing="1" w:after="100" w:afterAutospacing="1"/>
        <w:rPr>
          <w:rFonts w:ascii="Arial" w:hAnsi="Arial" w:cs="Arial"/>
          <w:color w:val="000000"/>
        </w:rPr>
      </w:pPr>
      <w:r w:rsidRPr="00F109AE">
        <w:rPr>
          <w:rFonts w:ascii="Arial" w:hAnsi="Arial" w:cs="Arial"/>
          <w:color w:val="000000"/>
        </w:rPr>
        <w:t xml:space="preserve">Adults will commit to learning when the goals and objectives are </w:t>
      </w:r>
      <w:r w:rsidRPr="00F109AE">
        <w:rPr>
          <w:rFonts w:ascii="Arial" w:hAnsi="Arial" w:cs="Arial"/>
          <w:b/>
          <w:color w:val="000000"/>
        </w:rPr>
        <w:t>considered realistic and important to them</w:t>
      </w:r>
      <w:r w:rsidRPr="00F109AE">
        <w:rPr>
          <w:rFonts w:ascii="Arial" w:hAnsi="Arial" w:cs="Arial"/>
          <w:color w:val="000000"/>
        </w:rPr>
        <w:t xml:space="preserve">. Application in the 'real world' is important and relevant to the adult learner's personal and professional needs. </w:t>
      </w:r>
    </w:p>
    <w:p w:rsidR="007D16BF" w:rsidRPr="00F109AE" w:rsidRDefault="007D16BF" w:rsidP="007D16BF">
      <w:pPr>
        <w:numPr>
          <w:ilvl w:val="0"/>
          <w:numId w:val="4"/>
        </w:numPr>
        <w:spacing w:before="100" w:beforeAutospacing="1" w:after="100" w:afterAutospacing="1"/>
        <w:rPr>
          <w:rFonts w:ascii="Arial" w:hAnsi="Arial" w:cs="Arial"/>
          <w:color w:val="000000"/>
        </w:rPr>
      </w:pPr>
      <w:r w:rsidRPr="00F109AE">
        <w:rPr>
          <w:rFonts w:ascii="Arial" w:hAnsi="Arial" w:cs="Arial"/>
          <w:b/>
          <w:color w:val="000000"/>
        </w:rPr>
        <w:t>Adults want to be the origin of their own learnin</w:t>
      </w:r>
      <w:r w:rsidRPr="00F109AE">
        <w:rPr>
          <w:rFonts w:ascii="Arial" w:hAnsi="Arial" w:cs="Arial"/>
          <w:color w:val="000000"/>
        </w:rPr>
        <w:t>g and will resist learning activities they believe are an attack on their competence. Thus, professional development needs to give participants some control over the wh</w:t>
      </w:r>
      <w:bookmarkStart w:id="0" w:name="_GoBack"/>
      <w:bookmarkEnd w:id="0"/>
      <w:r w:rsidRPr="00F109AE">
        <w:rPr>
          <w:rFonts w:ascii="Arial" w:hAnsi="Arial" w:cs="Arial"/>
          <w:color w:val="000000"/>
        </w:rPr>
        <w:t xml:space="preserve">at, who, how, why, when, and where of their learning. </w:t>
      </w:r>
    </w:p>
    <w:p w:rsidR="007D16BF" w:rsidRPr="00F109AE" w:rsidRDefault="007D16BF" w:rsidP="007D16BF">
      <w:pPr>
        <w:numPr>
          <w:ilvl w:val="0"/>
          <w:numId w:val="5"/>
        </w:numPr>
        <w:spacing w:before="100" w:beforeAutospacing="1" w:after="100" w:afterAutospacing="1"/>
        <w:rPr>
          <w:rFonts w:ascii="Arial" w:hAnsi="Arial" w:cs="Arial"/>
          <w:b/>
          <w:color w:val="000000"/>
        </w:rPr>
      </w:pPr>
      <w:r w:rsidRPr="00F109AE">
        <w:rPr>
          <w:rFonts w:ascii="Arial" w:hAnsi="Arial" w:cs="Arial"/>
          <w:color w:val="000000"/>
        </w:rPr>
        <w:lastRenderedPageBreak/>
        <w:t>Adult learners need to see that the professional development learning and their day-to-day activities are</w:t>
      </w:r>
      <w:r w:rsidRPr="00F109AE">
        <w:rPr>
          <w:rFonts w:ascii="Arial" w:hAnsi="Arial" w:cs="Arial"/>
          <w:b/>
          <w:color w:val="000000"/>
        </w:rPr>
        <w:t xml:space="preserve"> related and relevant. </w:t>
      </w:r>
    </w:p>
    <w:p w:rsidR="007D16BF" w:rsidRPr="00F109AE" w:rsidRDefault="007D16BF" w:rsidP="007D16BF">
      <w:pPr>
        <w:numPr>
          <w:ilvl w:val="0"/>
          <w:numId w:val="6"/>
        </w:numPr>
        <w:spacing w:before="100" w:beforeAutospacing="1" w:after="100" w:afterAutospacing="1"/>
        <w:rPr>
          <w:rFonts w:ascii="Arial" w:hAnsi="Arial" w:cs="Arial"/>
          <w:color w:val="000000"/>
        </w:rPr>
      </w:pPr>
      <w:r w:rsidRPr="00F109AE">
        <w:rPr>
          <w:rFonts w:ascii="Arial" w:hAnsi="Arial" w:cs="Arial"/>
          <w:b/>
          <w:color w:val="000000"/>
        </w:rPr>
        <w:t>Adult learners need direct, concrete experiences</w:t>
      </w:r>
      <w:r w:rsidRPr="00F109AE">
        <w:rPr>
          <w:rFonts w:ascii="Arial" w:hAnsi="Arial" w:cs="Arial"/>
          <w:color w:val="000000"/>
        </w:rPr>
        <w:t xml:space="preserve"> in which they apply the learning in real work. </w:t>
      </w:r>
    </w:p>
    <w:p w:rsidR="007D16BF" w:rsidRPr="00F109AE" w:rsidRDefault="007D16BF" w:rsidP="007D16BF">
      <w:pPr>
        <w:numPr>
          <w:ilvl w:val="0"/>
          <w:numId w:val="7"/>
        </w:numPr>
        <w:spacing w:before="100" w:beforeAutospacing="1" w:after="100" w:afterAutospacing="1"/>
        <w:rPr>
          <w:rFonts w:ascii="Arial" w:hAnsi="Arial" w:cs="Arial"/>
          <w:color w:val="000000"/>
        </w:rPr>
      </w:pPr>
      <w:r w:rsidRPr="00F109AE">
        <w:rPr>
          <w:rFonts w:ascii="Arial" w:hAnsi="Arial" w:cs="Arial"/>
          <w:b/>
          <w:color w:val="000000"/>
        </w:rPr>
        <w:t>Adult learning has ego involved</w:t>
      </w:r>
      <w:r w:rsidRPr="00F109AE">
        <w:rPr>
          <w:rFonts w:ascii="Arial" w:hAnsi="Arial" w:cs="Arial"/>
          <w:color w:val="000000"/>
        </w:rPr>
        <w:t xml:space="preserve">. Professional development must be structured to provide support from peers and to reduce the fear of judgment during learning. </w:t>
      </w:r>
    </w:p>
    <w:p w:rsidR="007D16BF" w:rsidRPr="00F109AE" w:rsidRDefault="007D16BF" w:rsidP="007D16BF">
      <w:pPr>
        <w:numPr>
          <w:ilvl w:val="0"/>
          <w:numId w:val="8"/>
        </w:numPr>
        <w:spacing w:before="100" w:beforeAutospacing="1" w:after="100" w:afterAutospacing="1"/>
        <w:rPr>
          <w:rFonts w:ascii="Arial" w:hAnsi="Arial" w:cs="Arial"/>
          <w:color w:val="000000"/>
        </w:rPr>
      </w:pPr>
      <w:r w:rsidRPr="00F109AE">
        <w:rPr>
          <w:rFonts w:ascii="Arial" w:hAnsi="Arial" w:cs="Arial"/>
          <w:b/>
          <w:color w:val="000000"/>
        </w:rPr>
        <w:t xml:space="preserve">Adults need to receive feedback </w:t>
      </w:r>
      <w:r w:rsidRPr="00F109AE">
        <w:rPr>
          <w:rFonts w:ascii="Arial" w:hAnsi="Arial" w:cs="Arial"/>
          <w:color w:val="000000"/>
        </w:rPr>
        <w:t xml:space="preserve">on how they are doing and the results of their efforts. Opportunities must be built into professional development activities that allow the learner to practice the learning and receive structured, helpful feedback. </w:t>
      </w:r>
    </w:p>
    <w:p w:rsidR="007D16BF" w:rsidRPr="00F109AE" w:rsidRDefault="007D16BF" w:rsidP="007D16BF">
      <w:pPr>
        <w:numPr>
          <w:ilvl w:val="0"/>
          <w:numId w:val="9"/>
        </w:numPr>
        <w:spacing w:before="100" w:beforeAutospacing="1" w:after="100" w:afterAutospacing="1"/>
        <w:rPr>
          <w:rFonts w:ascii="Arial" w:hAnsi="Arial" w:cs="Arial"/>
          <w:color w:val="000000"/>
        </w:rPr>
      </w:pPr>
      <w:r w:rsidRPr="00F109AE">
        <w:rPr>
          <w:rFonts w:ascii="Arial" w:hAnsi="Arial" w:cs="Arial"/>
          <w:b/>
          <w:color w:val="000000"/>
        </w:rPr>
        <w:t xml:space="preserve">Adults need to participate in small-group activities </w:t>
      </w:r>
      <w:r w:rsidRPr="00F109AE">
        <w:rPr>
          <w:rFonts w:ascii="Arial" w:hAnsi="Arial" w:cs="Arial"/>
          <w:color w:val="000000"/>
        </w:rPr>
        <w:t xml:space="preserve">during the learning to move them beyond understanding to application, analysis, synthesis, and evaluation. Small-group activities provide an opportunity to share, reflect, and generalize their learning experiences. </w:t>
      </w:r>
    </w:p>
    <w:p w:rsidR="007D16BF" w:rsidRPr="00F109AE" w:rsidRDefault="007D16BF" w:rsidP="007D16BF">
      <w:pPr>
        <w:numPr>
          <w:ilvl w:val="0"/>
          <w:numId w:val="10"/>
        </w:numPr>
        <w:spacing w:before="100" w:beforeAutospacing="1" w:after="100" w:afterAutospacing="1"/>
        <w:rPr>
          <w:rFonts w:ascii="Arial" w:hAnsi="Arial" w:cs="Arial"/>
          <w:color w:val="000000"/>
        </w:rPr>
      </w:pPr>
      <w:r w:rsidRPr="00F109AE">
        <w:rPr>
          <w:rFonts w:ascii="Arial" w:hAnsi="Arial" w:cs="Arial"/>
          <w:b/>
          <w:color w:val="000000"/>
        </w:rPr>
        <w:t xml:space="preserve">Adult learners come to learning with a wide range of previous experiences, knowledge, self-direction, interests, and competencies. </w:t>
      </w:r>
      <w:r w:rsidRPr="00F109AE">
        <w:rPr>
          <w:rFonts w:ascii="Arial" w:hAnsi="Arial" w:cs="Arial"/>
          <w:color w:val="000000"/>
        </w:rPr>
        <w:t xml:space="preserve">This diversity must be accommodated in the professional development planning. </w:t>
      </w:r>
    </w:p>
    <w:p w:rsidR="00F17AF2" w:rsidRPr="00F109AE" w:rsidRDefault="007D16BF" w:rsidP="007D16BF">
      <w:pPr>
        <w:numPr>
          <w:ilvl w:val="0"/>
          <w:numId w:val="11"/>
        </w:numPr>
        <w:spacing w:before="100" w:beforeAutospacing="1" w:after="100" w:afterAutospacing="1"/>
        <w:rPr>
          <w:rFonts w:ascii="Arial" w:hAnsi="Arial" w:cs="Arial"/>
        </w:rPr>
      </w:pPr>
      <w:r w:rsidRPr="00F109AE">
        <w:rPr>
          <w:rFonts w:ascii="Arial" w:hAnsi="Arial" w:cs="Arial"/>
          <w:b/>
          <w:color w:val="000000"/>
        </w:rPr>
        <w:t>Transfer of learning for adults is not automatic and must be facilitated</w:t>
      </w:r>
      <w:r w:rsidRPr="00F109AE">
        <w:rPr>
          <w:rFonts w:ascii="Arial" w:hAnsi="Arial" w:cs="Arial"/>
          <w:color w:val="000000"/>
        </w:rPr>
        <w:t>. Coaching and other kinds of follow-up support are needed to help adult learners transfer learning into daily practice so that it is sustained.</w:t>
      </w:r>
      <w:r w:rsidRPr="00F109AE">
        <w:rPr>
          <w:rFonts w:ascii="Arial" w:hAnsi="Arial" w:cs="Arial"/>
        </w:rPr>
        <w:t xml:space="preserve"> </w:t>
      </w:r>
    </w:p>
    <w:p w:rsidR="00BB1E18" w:rsidRPr="00F109AE" w:rsidRDefault="00BB1E18" w:rsidP="00BB1E18">
      <w:pPr>
        <w:spacing w:before="100" w:beforeAutospacing="1" w:after="100" w:afterAutospacing="1"/>
        <w:ind w:left="360"/>
        <w:rPr>
          <w:rFonts w:ascii="Arial" w:hAnsi="Arial" w:cs="Arial"/>
        </w:rPr>
      </w:pPr>
      <w:r w:rsidRPr="00F109AE">
        <w:rPr>
          <w:rFonts w:ascii="Arial" w:hAnsi="Arial" w:cs="Arial"/>
        </w:rPr>
        <w:t>http://www.ncrel.org/sdrs/areas/issues/methods/technlgy/te10lk12.htm</w:t>
      </w:r>
    </w:p>
    <w:p w:rsidR="00BB1E18" w:rsidRPr="00F109AE" w:rsidRDefault="00BB1E18" w:rsidP="00BB1E18">
      <w:pPr>
        <w:spacing w:before="100" w:beforeAutospacing="1" w:after="100" w:afterAutospacing="1"/>
        <w:ind w:left="360"/>
        <w:rPr>
          <w:rFonts w:ascii="Arial" w:hAnsi="Arial" w:cs="Arial"/>
        </w:rPr>
      </w:pPr>
    </w:p>
    <w:sectPr w:rsidR="00BB1E18" w:rsidRPr="00F109AE">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DD7" w:rsidRDefault="00AC7DD7">
      <w:r>
        <w:separator/>
      </w:r>
    </w:p>
  </w:endnote>
  <w:endnote w:type="continuationSeparator" w:id="0">
    <w:p w:rsidR="00AC7DD7" w:rsidRDefault="00AC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18" w:rsidRDefault="00BB1E18" w:rsidP="00C12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1E18" w:rsidRDefault="00BB1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18" w:rsidRDefault="00BB1E18" w:rsidP="00C12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F27">
      <w:rPr>
        <w:rStyle w:val="PageNumber"/>
        <w:noProof/>
      </w:rPr>
      <w:t>1</w:t>
    </w:r>
    <w:r>
      <w:rPr>
        <w:rStyle w:val="PageNumber"/>
      </w:rPr>
      <w:fldChar w:fldCharType="end"/>
    </w:r>
  </w:p>
  <w:p w:rsidR="00BB1E18" w:rsidRPr="007D16BF" w:rsidRDefault="005E7F27">
    <w:pPr>
      <w:pStyle w:val="Footer"/>
      <w:rPr>
        <w:rFonts w:ascii="Helvetica" w:hAnsi="Helvetica"/>
      </w:rPr>
    </w:pPr>
    <w:r>
      <w:rPr>
        <w:rFonts w:ascii="Helvetica" w:hAnsi="Helvetica"/>
      </w:rPr>
      <w:t>SIT</w:t>
    </w:r>
    <w:r w:rsidR="00BB1E18">
      <w:rPr>
        <w:rFonts w:ascii="Helvetica" w:hAnsi="Helvetica"/>
      </w:rPr>
      <w:tab/>
    </w:r>
    <w:r w:rsidR="00BB1E18">
      <w:rPr>
        <w:rFonts w:ascii="Helvetica" w:hAnsi="Helvetica"/>
      </w:rPr>
      <w:tab/>
      <w:t>marykay.sigda@sit.edu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DD7" w:rsidRDefault="00AC7DD7">
      <w:r>
        <w:separator/>
      </w:r>
    </w:p>
  </w:footnote>
  <w:footnote w:type="continuationSeparator" w:id="0">
    <w:p w:rsidR="00AC7DD7" w:rsidRDefault="00AC7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E18" w:rsidRPr="007D16BF" w:rsidRDefault="00BB1E18">
    <w:pPr>
      <w:pStyle w:val="Header"/>
      <w:rPr>
        <w:rFonts w:ascii="Helvetica" w:hAnsi="Helvetica"/>
        <w:b/>
      </w:rPr>
    </w:pPr>
    <w:r>
      <w:rPr>
        <w:rFonts w:ascii="Helvetica" w:hAnsi="Helvetica"/>
      </w:rPr>
      <w:tab/>
    </w:r>
    <w:r w:rsidRPr="007D16BF">
      <w:rPr>
        <w:rFonts w:ascii="Helvetica" w:hAnsi="Helvetica"/>
        <w:b/>
      </w:rPr>
      <w:t>TDEL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4FA2"/>
    <w:multiLevelType w:val="multilevel"/>
    <w:tmpl w:val="6EE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566AE"/>
    <w:multiLevelType w:val="multilevel"/>
    <w:tmpl w:val="6EE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F15C2"/>
    <w:multiLevelType w:val="multilevel"/>
    <w:tmpl w:val="6EE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E5B41"/>
    <w:multiLevelType w:val="multilevel"/>
    <w:tmpl w:val="6EE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02240"/>
    <w:multiLevelType w:val="multilevel"/>
    <w:tmpl w:val="6EE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16091A"/>
    <w:multiLevelType w:val="multilevel"/>
    <w:tmpl w:val="6EE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C6615"/>
    <w:multiLevelType w:val="hybridMultilevel"/>
    <w:tmpl w:val="3FDC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640197"/>
    <w:multiLevelType w:val="multilevel"/>
    <w:tmpl w:val="6EE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B116EC"/>
    <w:multiLevelType w:val="hybridMultilevel"/>
    <w:tmpl w:val="58F40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73014E"/>
    <w:multiLevelType w:val="multilevel"/>
    <w:tmpl w:val="6EE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6B7C1D"/>
    <w:multiLevelType w:val="multilevel"/>
    <w:tmpl w:val="6EE6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7"/>
  </w:num>
  <w:num w:numId="5">
    <w:abstractNumId w:val="1"/>
  </w:num>
  <w:num w:numId="6">
    <w:abstractNumId w:val="10"/>
  </w:num>
  <w:num w:numId="7">
    <w:abstractNumId w:val="4"/>
  </w:num>
  <w:num w:numId="8">
    <w:abstractNumId w:val="3"/>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90"/>
    <w:rsid w:val="003F4EEE"/>
    <w:rsid w:val="005E7F27"/>
    <w:rsid w:val="00652C0A"/>
    <w:rsid w:val="007D16BF"/>
    <w:rsid w:val="00AA1E46"/>
    <w:rsid w:val="00AC7DD7"/>
    <w:rsid w:val="00BB1E18"/>
    <w:rsid w:val="00C12BC5"/>
    <w:rsid w:val="00C778AF"/>
    <w:rsid w:val="00D34790"/>
    <w:rsid w:val="00DD4A94"/>
    <w:rsid w:val="00F109AE"/>
    <w:rsid w:val="00F1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E378AD-7FFE-4172-A369-B99F798B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16BF"/>
    <w:pPr>
      <w:tabs>
        <w:tab w:val="center" w:pos="4320"/>
        <w:tab w:val="right" w:pos="8640"/>
      </w:tabs>
    </w:pPr>
  </w:style>
  <w:style w:type="paragraph" w:styleId="Footer">
    <w:name w:val="footer"/>
    <w:basedOn w:val="Normal"/>
    <w:rsid w:val="007D16BF"/>
    <w:pPr>
      <w:tabs>
        <w:tab w:val="center" w:pos="4320"/>
        <w:tab w:val="right" w:pos="8640"/>
      </w:tabs>
    </w:pPr>
  </w:style>
  <w:style w:type="character" w:styleId="PageNumber">
    <w:name w:val="page number"/>
    <w:basedOn w:val="DefaultParagraphFont"/>
    <w:rsid w:val="007D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867357">
      <w:bodyDiv w:val="1"/>
      <w:marLeft w:val="0"/>
      <w:marRight w:val="0"/>
      <w:marTop w:val="0"/>
      <w:marBottom w:val="0"/>
      <w:divBdr>
        <w:top w:val="none" w:sz="0" w:space="0" w:color="auto"/>
        <w:left w:val="none" w:sz="0" w:space="0" w:color="auto"/>
        <w:bottom w:val="none" w:sz="0" w:space="0" w:color="auto"/>
        <w:right w:val="none" w:sz="0" w:space="0" w:color="auto"/>
      </w:divBdr>
      <w:divsChild>
        <w:div w:id="85425186">
          <w:marLeft w:val="0"/>
          <w:marRight w:val="0"/>
          <w:marTop w:val="0"/>
          <w:marBottom w:val="0"/>
          <w:divBdr>
            <w:top w:val="none" w:sz="0" w:space="0" w:color="auto"/>
            <w:left w:val="none" w:sz="0" w:space="0" w:color="auto"/>
            <w:bottom w:val="none" w:sz="0" w:space="0" w:color="auto"/>
            <w:right w:val="none" w:sz="0" w:space="0" w:color="auto"/>
          </w:divBdr>
          <w:divsChild>
            <w:div w:id="9913873">
              <w:marLeft w:val="630"/>
              <w:marRight w:val="0"/>
              <w:marTop w:val="0"/>
              <w:marBottom w:val="0"/>
              <w:divBdr>
                <w:top w:val="none" w:sz="0" w:space="0" w:color="auto"/>
                <w:left w:val="none" w:sz="0" w:space="0" w:color="auto"/>
                <w:bottom w:val="none" w:sz="0" w:space="0" w:color="auto"/>
                <w:right w:val="none" w:sz="0" w:space="0" w:color="auto"/>
              </w:divBdr>
              <w:divsChild>
                <w:div w:id="1090929465">
                  <w:marLeft w:val="0"/>
                  <w:marRight w:val="0"/>
                  <w:marTop w:val="0"/>
                  <w:marBottom w:val="0"/>
                  <w:divBdr>
                    <w:top w:val="none" w:sz="0" w:space="0" w:color="auto"/>
                    <w:left w:val="none" w:sz="0" w:space="0" w:color="auto"/>
                    <w:bottom w:val="none" w:sz="0" w:space="0" w:color="auto"/>
                    <w:right w:val="none" w:sz="0" w:space="0" w:color="auto"/>
                  </w:divBdr>
                  <w:divsChild>
                    <w:div w:id="746876377">
                      <w:marLeft w:val="0"/>
                      <w:marRight w:val="0"/>
                      <w:marTop w:val="300"/>
                      <w:marBottom w:val="0"/>
                      <w:divBdr>
                        <w:top w:val="none" w:sz="0" w:space="0" w:color="auto"/>
                        <w:left w:val="none" w:sz="0" w:space="0" w:color="auto"/>
                        <w:bottom w:val="none" w:sz="0" w:space="0" w:color="auto"/>
                        <w:right w:val="none" w:sz="0" w:space="0" w:color="auto"/>
                      </w:divBdr>
                      <w:divsChild>
                        <w:div w:id="103312169">
                          <w:marLeft w:val="0"/>
                          <w:marRight w:val="0"/>
                          <w:marTop w:val="0"/>
                          <w:marBottom w:val="0"/>
                          <w:divBdr>
                            <w:top w:val="none" w:sz="0" w:space="0" w:color="auto"/>
                            <w:left w:val="none" w:sz="0" w:space="0" w:color="auto"/>
                            <w:bottom w:val="none" w:sz="0" w:space="0" w:color="auto"/>
                            <w:right w:val="none" w:sz="0" w:space="0" w:color="auto"/>
                          </w:divBdr>
                          <w:divsChild>
                            <w:div w:id="1553419806">
                              <w:marLeft w:val="0"/>
                              <w:marRight w:val="0"/>
                              <w:marTop w:val="0"/>
                              <w:marBottom w:val="0"/>
                              <w:divBdr>
                                <w:top w:val="none" w:sz="0" w:space="0" w:color="auto"/>
                                <w:left w:val="none" w:sz="0" w:space="0" w:color="auto"/>
                                <w:bottom w:val="none" w:sz="0" w:space="0" w:color="auto"/>
                                <w:right w:val="none" w:sz="0" w:space="0" w:color="auto"/>
                              </w:divBdr>
                              <w:divsChild>
                                <w:div w:id="1007517207">
                                  <w:marLeft w:val="0"/>
                                  <w:marRight w:val="0"/>
                                  <w:marTop w:val="0"/>
                                  <w:marBottom w:val="0"/>
                                  <w:divBdr>
                                    <w:top w:val="none" w:sz="0" w:space="0" w:color="auto"/>
                                    <w:left w:val="none" w:sz="0" w:space="0" w:color="auto"/>
                                    <w:bottom w:val="none" w:sz="0" w:space="0" w:color="auto"/>
                                    <w:right w:val="none" w:sz="0" w:space="0" w:color="auto"/>
                                  </w:divBdr>
                                  <w:divsChild>
                                    <w:div w:id="178199849">
                                      <w:marLeft w:val="0"/>
                                      <w:marRight w:val="0"/>
                                      <w:marTop w:val="0"/>
                                      <w:marBottom w:val="0"/>
                                      <w:divBdr>
                                        <w:top w:val="none" w:sz="0" w:space="0" w:color="auto"/>
                                        <w:left w:val="none" w:sz="0" w:space="0" w:color="auto"/>
                                        <w:bottom w:val="none" w:sz="0" w:space="0" w:color="auto"/>
                                        <w:right w:val="none" w:sz="0" w:space="0" w:color="auto"/>
                                      </w:divBdr>
                                      <w:divsChild>
                                        <w:div w:id="12842668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Experiential Learning Cycle</vt:lpstr>
    </vt:vector>
  </TitlesOfParts>
  <Company>World Learning</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Learning Cycle</dc:title>
  <dc:subject/>
  <dc:creator>sigdama</dc:creator>
  <cp:keywords/>
  <cp:lastModifiedBy>Mary Kay Sigda</cp:lastModifiedBy>
  <cp:revision>5</cp:revision>
  <cp:lastPrinted>2008-10-22T15:11:00Z</cp:lastPrinted>
  <dcterms:created xsi:type="dcterms:W3CDTF">2016-03-06T23:48:00Z</dcterms:created>
  <dcterms:modified xsi:type="dcterms:W3CDTF">2016-03-06T23:49:00Z</dcterms:modified>
</cp:coreProperties>
</file>